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2969"/>
      </w:tblGrid>
      <w:tr>
        <w:trPr>
          <w:trHeight w:val="400" w:hRule="atLeast"/>
        </w:trPr>
        <w:tc>
          <w:tcPr>
            <w:tcW w:w="965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6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6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60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03"/>
      </w:tblGrid>
      <w:tr>
        <w:trPr/>
        <w:tc>
          <w:tcPr>
            <w:tcW w:w="9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1" w:righ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8"/>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none"/>
              </w:rPr>
              <w:t xml:space="preserve"> </w:t>
            </w:r>
            <w:r>
              <w:rPr>
                <w:rFonts w:hint="default"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none" w:color="000000"/>
              </w:rPr>
              <w:t>（Ｂ－Ａ）</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wordWrap w:val="0"/>
        <w:spacing w:line="240" w:lineRule="exact"/>
        <w:ind w:left="0" w:leftChars="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②市町村長又は特別区長から認定を受けた後、本認定の有効期間内に金融機関又は信用保証協会に対して、経営安定関連保証の申込みを行うことが必要です。</w:t>
      </w:r>
    </w:p>
    <w:p>
      <w:pPr>
        <w:pStyle w:val="0"/>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306"/>
        <w:jc w:val="right"/>
        <w:rPr>
          <w:rFonts w:hint="eastAsia" w:ascii="ＭＳ ゴシック" w:hAnsi="ＭＳ ゴシック" w:eastAsia="ＭＳ ゴシック"/>
        </w:rPr>
      </w:pPr>
      <w:r>
        <w:rPr>
          <w:rFonts w:hint="eastAsia" w:ascii="ＭＳ ゴシック" w:hAnsi="ＭＳ ゴシック" w:eastAsia="ＭＳ ゴシック"/>
        </w:rPr>
        <w:t>青地商第　　　　　　号</w:t>
      </w:r>
    </w:p>
    <w:p>
      <w:pPr>
        <w:pStyle w:val="0"/>
        <w:ind w:right="306"/>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widowControl w:val="1"/>
        <w:jc w:val="lef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青梅市長　大勢待　利　明</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2</Words>
  <Characters>782</Characters>
  <Application>JUST Note</Application>
  <Lines>59</Lines>
  <Paragraphs>38</Paragraphs>
  <Company>青梅市</Company>
  <CharactersWithSpaces>1473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太田　南</cp:lastModifiedBy>
  <cp:lastPrinted>2023-11-30T04:40:21Z</cp:lastPrinted>
  <dcterms:created xsi:type="dcterms:W3CDTF">2023-11-22T01:36:00Z</dcterms:created>
  <dcterms:modified xsi:type="dcterms:W3CDTF">2023-11-30T06:00:22Z</dcterms:modified>
  <cp:revision>0</cp:revision>
</cp:coreProperties>
</file>