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6288" w:tblpY="-6"/>
        <w:tblOverlap w:val="never"/>
        <w:tblW w:w="3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ゴシック" w:hAnsi="ＭＳ ゴシック" w:eastAsia="ＭＳ ゴシック"/>
              </w:rPr>
            </w:pPr>
            <w:r>
              <w:rPr>
                <w:rFonts w:hint="eastAsia" w:ascii="ＭＳ ゴシック" w:hAnsi="ＭＳ ゴシック" w:eastAsia="ＭＳ ゴシック"/>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autoSpaceDE w:val="0"/>
        <w:autoSpaceDN w:val="0"/>
        <w:spacing w:line="366" w:lineRule="atLeast"/>
        <w:ind w:left="0" w:leftChars="0" w:right="840" w:rightChars="400" w:hanging="281" w:hangingChars="117"/>
        <w:rPr>
          <w:rFonts w:hint="default" w:ascii="ＭＳ ゴシック" w:hAnsi="ＭＳ ゴシック" w:eastAsia="ＭＳ ゴシック"/>
          <w:sz w:val="24"/>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jc w:val="left"/>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青梅市長　大勢待　利　明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sz w:val="18"/>
              </w:rPr>
              <w:t>　　　　　　　　　　　　　　　　　　　</w:t>
            </w:r>
          </w:p>
          <w:p>
            <w:pPr>
              <w:pStyle w:val="0"/>
              <w:suppressAutoHyphens w:val="1"/>
              <w:kinsoku w:val="0"/>
              <w:wordWrap w:val="0"/>
              <w:overflowPunct w:val="0"/>
              <w:autoSpaceDE w:val="0"/>
              <w:autoSpaceDN w:val="0"/>
              <w:adjustRightInd w:val="0"/>
              <w:spacing w:line="274" w:lineRule="atLeast"/>
              <w:ind w:right="5" w:righ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業</w:t>
            </w:r>
            <w:r>
              <w:rPr>
                <w:rFonts w:hint="eastAsia" w:ascii="ＭＳ ゴシック" w:hAnsi="ＭＳ ゴシック" w:eastAsia="ＭＳ ゴシック"/>
                <w:color w:val="000000"/>
                <w:kern w:val="0"/>
                <w:sz w:val="18"/>
                <w:u w:val="single" w:color="auto"/>
              </w:rPr>
              <w:t>（注２</w:t>
            </w:r>
            <w:r>
              <w:rPr>
                <w:rFonts w:hint="eastAsia" w:ascii="ＭＳ ゴシック" w:hAnsi="ＭＳ ゴシック" w:eastAsia="ＭＳ ゴシック"/>
                <w:color w:val="000000"/>
                <w:kern w:val="0"/>
                <w:u w:val="single" w:color="auto"/>
              </w:rPr>
              <w:t>）</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8"/>
                <w:u w:val="single" w:color="auto"/>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position w:val="-6"/>
                <w:u w:val="single" w:color="000000"/>
              </w:rPr>
              <w:t xml:space="preserve"> </w:t>
            </w:r>
            <w:r>
              <w:rPr>
                <w:rFonts w:hint="eastAsia" w:ascii="ＭＳ ゴシック" w:hAnsi="ＭＳ ゴシック" w:eastAsia="ＭＳ ゴシック"/>
                <w:color w:val="000000"/>
                <w:kern w:val="0"/>
                <w:position w:val="-6"/>
                <w:u w:val="single" w:color="000000"/>
              </w:rPr>
              <w:t>Ｂ－Ａ</w:t>
            </w:r>
            <w:r>
              <w:rPr>
                <w:rFonts w:hint="eastAsia" w:ascii="ＭＳ ゴシック" w:hAnsi="ＭＳ ゴシック" w:eastAsia="ＭＳ ゴシック"/>
                <w:color w:val="000000"/>
                <w:kern w:val="0"/>
                <w:position w:val="-6"/>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position w:val="6"/>
              </w:rPr>
              <w:t xml:space="preserve"> </w:t>
            </w:r>
            <w:r>
              <w:rPr>
                <w:rFonts w:hint="eastAsia" w:ascii="ＭＳ ゴシック" w:hAnsi="ＭＳ ゴシック" w:eastAsia="ＭＳ ゴシック"/>
                <w:color w:val="000000"/>
                <w:kern w:val="0"/>
                <w:position w:val="6"/>
              </w:rPr>
              <w:t>Ｂ</w:t>
            </w:r>
            <w:r>
              <w:rPr>
                <w:rFonts w:hint="default" w:ascii="ＭＳ ゴシック" w:hAnsi="ＭＳ ゴシック" w:eastAsia="ＭＳ ゴシック"/>
                <w:color w:val="000000"/>
                <w:kern w:val="0"/>
                <w:position w:val="6"/>
              </w:rPr>
              <w:t xml:space="preserve">   </w:t>
            </w:r>
            <w:r>
              <w:rPr>
                <w:rFonts w:hint="eastAsia" w:ascii="ＭＳ ゴシック" w:hAnsi="ＭＳ ゴシック" w:eastAsia="ＭＳ ゴシック"/>
                <w:color w:val="000000"/>
                <w:kern w:val="0"/>
                <w:position w:val="6"/>
              </w:rPr>
              <w:t>×</w:t>
            </w:r>
            <w:r>
              <w:rPr>
                <w:rFonts w:hint="default" w:ascii="ＭＳ ゴシック" w:hAnsi="ＭＳ ゴシック" w:eastAsia="ＭＳ ゴシック"/>
                <w:color w:val="000000"/>
                <w:kern w:val="0"/>
                <w:position w:val="6"/>
              </w:rPr>
              <w:t>100</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①本認定とは別に、金融機関及び信用保証協会による金融上の審査があります。</w:t>
      </w:r>
    </w:p>
    <w:p>
      <w:pPr>
        <w:pStyle w:val="0"/>
        <w:suppressAutoHyphens w:val="1"/>
        <w:wordWrap w:val="0"/>
        <w:spacing w:line="240" w:lineRule="exact"/>
        <w:ind w:left="0" w:leftChars="0" w:hanging="420" w:hangingChars="200"/>
        <w:jc w:val="left"/>
        <w:textAlignment w:val="baseline"/>
        <w:rPr>
          <w:rFonts w:hint="eastAsia"/>
        </w:rPr>
      </w:pPr>
      <w:r>
        <w:rPr>
          <w:rFonts w:hint="eastAsia" w:ascii="ＭＳ ゴシック" w:hAnsi="ＭＳ ゴシック" w:eastAsia="ＭＳ ゴシック"/>
          <w:color w:val="000000"/>
          <w:kern w:val="0"/>
        </w:rPr>
        <w:t>　②市町村長又は特別区長から認定を受けた後、本認定の有効期間内に金融機関又は信用保証協会に対して、経営安定関連保証の申込みを行うことが必要です。</w:t>
      </w:r>
    </w:p>
    <w:p>
      <w:pPr>
        <w:pStyle w:val="0"/>
        <w:rPr>
          <w:rFonts w:hint="eastAsia" w:ascii="ＭＳ ゴシック" w:hAnsi="ＭＳ ゴシック" w:eastAsia="ＭＳ ゴシック"/>
          <w:u w:val="dotted" w:color="auto"/>
        </w:rPr>
      </w:pP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p>
    <w:p>
      <w:pPr>
        <w:pStyle w:val="0"/>
        <w:wordWrap w:val="0"/>
        <w:ind w:right="306"/>
        <w:jc w:val="right"/>
        <w:rPr>
          <w:rFonts w:hint="eastAsia" w:ascii="ＭＳ ゴシック" w:hAnsi="ＭＳ ゴシック" w:eastAsia="ＭＳ ゴシック"/>
        </w:rPr>
      </w:pPr>
      <w:r>
        <w:rPr>
          <w:rFonts w:hint="eastAsia" w:ascii="ＭＳ ゴシック" w:hAnsi="ＭＳ ゴシック" w:eastAsia="ＭＳ ゴシック"/>
        </w:rPr>
        <w:t>青地商第　　　　　　号</w:t>
      </w:r>
    </w:p>
    <w:p>
      <w:pPr>
        <w:pStyle w:val="0"/>
        <w:ind w:right="306"/>
        <w:jc w:val="right"/>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right="306"/>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80" w:lineRule="exact"/>
        <w:ind w:right="23"/>
        <w:rPr>
          <w:rFonts w:hint="eastAsia" w:ascii="ＭＳ ゴシック" w:hAnsi="ＭＳ ゴシック" w:eastAsia="ＭＳ ゴシック"/>
          <w:spacing w:val="12"/>
        </w:rPr>
      </w:pPr>
      <w:r>
        <w:rPr>
          <w:rFonts w:hint="eastAsia" w:ascii="ＭＳ ゴシック" w:hAnsi="ＭＳ ゴシック" w:eastAsia="ＭＳ ゴシック"/>
          <w:spacing w:val="0"/>
        </w:rPr>
        <w:t>（注）本認定書の有効期間：令和　　年　　月　　日から令和　　年　　月　　日まで</w:t>
      </w:r>
    </w:p>
    <w:p>
      <w:pPr>
        <w:pStyle w:val="0"/>
        <w:suppressAutoHyphens w:val="1"/>
        <w:wordWrap w:val="0"/>
        <w:spacing w:line="360" w:lineRule="auto"/>
        <w:ind w:left="492" w:hanging="492"/>
        <w:jc w:val="left"/>
        <w:textAlignment w:val="baseline"/>
        <w:rPr>
          <w:rFonts w:hint="eastAsia"/>
        </w:rPr>
      </w:pPr>
      <w:r>
        <w:rPr>
          <w:rFonts w:hint="eastAsia" w:ascii="ＭＳ ゴシック" w:hAnsi="ＭＳ ゴシック" w:eastAsia="ＭＳ ゴシック"/>
        </w:rPr>
        <w:t>　　　　　　　　　　　　　　　　　　　　　　　　　　　　　　　</w:t>
      </w:r>
      <w:bookmarkStart w:id="0" w:name="_GoBack"/>
      <w:bookmarkEnd w:id="0"/>
      <w:r>
        <w:rPr>
          <w:rFonts w:hint="eastAsia" w:ascii="ＭＳ ゴシック" w:hAnsi="ＭＳ ゴシック" w:eastAsia="ＭＳ ゴシック"/>
        </w:rPr>
        <w:t>青梅市長　大勢待　利　明</w:t>
      </w: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1</Pages>
  <Words>1</Words>
  <Characters>631</Characters>
  <Application>JUST Note</Application>
  <Lines>46</Lines>
  <Paragraphs>32</Paragraphs>
  <Company>青梅市</Company>
  <CharactersWithSpaces>1279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南</dc:creator>
  <cp:lastModifiedBy>藤井　将一</cp:lastModifiedBy>
  <cp:lastPrinted>2023-11-30T04:30:42Z</cp:lastPrinted>
  <dcterms:created xsi:type="dcterms:W3CDTF">2023-11-22T00:12:00Z</dcterms:created>
  <dcterms:modified xsi:type="dcterms:W3CDTF">2023-11-30T02:28:02Z</dcterms:modified>
  <cp:revision>1</cp:revision>
</cp:coreProperties>
</file>