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2969"/>
      </w:tblGrid>
      <w:tr>
        <w:trPr>
          <w:trHeight w:val="400" w:hRule="atLeast"/>
        </w:trPr>
        <w:tc>
          <w:tcPr>
            <w:tcW w:w="9655"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296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296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様式第５－（ロ）－①</w:t>
      </w:r>
    </w:p>
    <w:tbl>
      <w:tblPr>
        <w:tblStyle w:val="11"/>
        <w:tblW w:w="96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0"/>
      </w:tblGrid>
      <w:tr>
        <w:trPr/>
        <w:tc>
          <w:tcPr>
            <w:tcW w:w="9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中小企業信用保険法第２条第５項第５号の規定による認定申請書（ロ－①）</w:t>
            </w:r>
          </w:p>
          <w:p>
            <w:pPr>
              <w:pStyle w:val="0"/>
              <w:suppressAutoHyphens w:val="1"/>
              <w:kinsoku w:val="0"/>
              <w:wordWrap w:val="0"/>
              <w:overflowPunct w:val="0"/>
              <w:autoSpaceDE w:val="0"/>
              <w:autoSpaceDN w:val="0"/>
              <w:adjustRightInd w:val="0"/>
              <w:spacing w:line="240" w:lineRule="exact"/>
              <w:ind w:right="275" w:rightChars="131"/>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rPr>
              <w:t>青梅市長　大勢待　利　明</w:t>
            </w:r>
            <w:r>
              <w:rPr>
                <w:rFonts w:hint="eastAsia" w:ascii="ＭＳ ゴシック" w:hAnsi="ＭＳ ゴシック" w:eastAsia="ＭＳ ゴシック"/>
                <w:color w:val="000000"/>
                <w:kern w:val="0"/>
              </w:rPr>
              <w:t>　殿</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31"/>
              <w:gridCol w:w="3134"/>
              <w:gridCol w:w="3133"/>
            </w:tblGrid>
            <w:tr>
              <w:trPr>
                <w:trHeight w:val="366" w:hRule="atLeast"/>
              </w:trPr>
              <w:tc>
                <w:tcPr>
                  <w:tcW w:w="3131"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3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33" w:type="dxa"/>
                  <w:vAlign w:val="top"/>
                </w:tcPr>
                <w:p>
                  <w:pPr>
                    <w:pStyle w:val="0"/>
                    <w:suppressAutoHyphens w:val="1"/>
                    <w:kinsoku w:val="0"/>
                    <w:wordWrap w:val="0"/>
                    <w:overflowPunct w:val="0"/>
                    <w:autoSpaceDE w:val="0"/>
                    <w:autoSpaceDN w:val="0"/>
                    <w:adjustRightInd w:val="0"/>
                    <w:spacing w:line="274" w:lineRule="atLeast"/>
                    <w:ind w:right="-105" w:rightChars="-50"/>
                    <w:jc w:val="left"/>
                    <w:textAlignment w:val="baseline"/>
                    <w:rPr>
                      <w:rFonts w:hint="default" w:ascii="ＭＳ ゴシック" w:hAnsi="ＭＳ ゴシック" w:eastAsia="ＭＳ ゴシック"/>
                      <w:color w:val="000000"/>
                      <w:spacing w:val="16"/>
                      <w:kern w:val="0"/>
                    </w:rPr>
                  </w:pPr>
                </w:p>
              </w:tc>
            </w:tr>
            <w:tr>
              <w:trPr>
                <w:trHeight w:val="382" w:hRule="atLeast"/>
              </w:trPr>
              <w:tc>
                <w:tcPr>
                  <w:tcW w:w="3131"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34"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33"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w:t>
            </w:r>
            <w:r>
              <w:rPr>
                <w:rFonts w:hint="eastAsia" w:ascii="ＭＳ ゴシック" w:hAnsi="ＭＳ ゴシック" w:eastAsia="ＭＳ ゴシック"/>
                <w:color w:val="000000"/>
                <w:kern w:val="0"/>
                <w:sz w:val="18"/>
              </w:rPr>
              <w:t>（注２）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上昇率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sz w:val="18"/>
                <w:u w:val="single" w:color="000000"/>
              </w:rPr>
              <w:t>（注４）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eastAsia" w:ascii="ＭＳ ゴシック" w:hAnsi="ＭＳ ゴシック" w:eastAsia="ＭＳ ゴシック"/>
                <w:color w:val="000000"/>
                <w:kern w:val="0"/>
                <w:sz w:val="18"/>
                <w:u w:val="single" w:color="000000"/>
              </w:rPr>
              <w:t>（注４）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w:t>
            </w:r>
            <w:r>
              <w:rPr>
                <w:rFonts w:hint="eastAsia" w:ascii="ＭＳ ゴシック" w:hAnsi="ＭＳ ゴシック" w:eastAsia="ＭＳ ゴシック"/>
                <w:color w:val="000000"/>
                <w:kern w:val="0"/>
                <w:sz w:val="18"/>
              </w:rPr>
              <w:t>（注２）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依存率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sz w:val="18"/>
                <w:u w:val="single" w:color="000000"/>
              </w:rPr>
              <w:t>（注４）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sz w:val="18"/>
                <w:u w:val="single" w:color="000000"/>
              </w:rPr>
              <w:t>（注４）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kern w:val="0"/>
              </w:rPr>
              <w:t>③製品等価格への転嫁の状況</w:t>
            </w:r>
            <w:r>
              <w:rPr>
                <w:rFonts w:hint="eastAsia" w:ascii="ＭＳ ゴシック" w:hAnsi="ＭＳ ゴシック" w:eastAsia="ＭＳ ゴシック"/>
                <w:color w:val="000000"/>
                <w:kern w:val="0"/>
                <w:sz w:val="18"/>
              </w:rPr>
              <w:t>（注３）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sz w:val="18"/>
                <w:u w:val="single" w:color="000000"/>
              </w:rPr>
              <w:t>（注４）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sz w:val="18"/>
                <w:u w:val="single" w:color="000000"/>
              </w:rPr>
              <w:t>（注４）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eastAsia" w:ascii="ＭＳ ゴシック" w:hAnsi="ＭＳ ゴシック" w:eastAsia="ＭＳ ゴシック"/>
                <w:color w:val="000000"/>
                <w:kern w:val="0"/>
                <w:sz w:val="18"/>
                <w:u w:val="single" w:color="000000"/>
              </w:rPr>
              <w:t>（注４）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ｂ：Ｂの期間に対応する前年３か月間の売上高</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eastAsia" w:ascii="ＭＳ ゴシック" w:hAnsi="ＭＳ ゴシック" w:eastAsia="ＭＳ ゴシック"/>
                <w:color w:val="000000"/>
                <w:kern w:val="0"/>
                <w:sz w:val="18"/>
                <w:u w:val="single" w:color="000000"/>
              </w:rPr>
              <w:t>（注４）</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spacing w:line="23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（注２）上昇率及び依存率が２０％以上となっていること。</w:t>
      </w:r>
    </w:p>
    <w:p>
      <w:pPr>
        <w:pStyle w:val="0"/>
        <w:suppressAutoHyphens w:val="1"/>
        <w:spacing w:line="230" w:lineRule="exact"/>
        <w:ind w:left="738" w:hanging="73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（注３）Ｐ＞０となっていること。</w:t>
      </w:r>
    </w:p>
    <w:p>
      <w:pPr>
        <w:pStyle w:val="0"/>
        <w:suppressAutoHyphens w:val="1"/>
        <w:spacing w:line="23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（注４）申請者全体の値を記載。</w:t>
      </w:r>
    </w:p>
    <w:p>
      <w:pPr>
        <w:pStyle w:val="0"/>
        <w:suppressAutoHyphens w:val="1"/>
        <w:spacing w:line="23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3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①本認定とは別に、金融機関及び信用保証協会による金融上の審査があります。</w:t>
      </w:r>
    </w:p>
    <w:p>
      <w:pPr>
        <w:pStyle w:val="0"/>
        <w:widowControl w:val="1"/>
        <w:spacing w:line="230" w:lineRule="exact"/>
        <w:ind w:left="0" w:leftChars="0" w:hanging="420" w:hangingChars="200"/>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862" w:leftChars="0" w:right="-231" w:rightChars="-110" w:hanging="862" w:firstLineChars="0"/>
        <w:jc w:val="left"/>
        <w:textAlignment w:val="baseline"/>
        <w:rPr>
          <w:rFonts w:hint="eastAsia" w:ascii="ＭＳ ゴシック" w:hAnsi="ＭＳ ゴシック" w:eastAsia="ＭＳ ゴシック"/>
          <w:u w:val="dotted" w:color="auto"/>
        </w:rPr>
      </w:pPr>
      <w:r>
        <w:rPr>
          <w:rFonts w:hint="eastAsia" w:ascii="ＭＳ ゴシック" w:hAnsi="ＭＳ ゴシック" w:eastAsia="ＭＳ ゴシック"/>
          <w:u w:val="dotted" w:color="auto"/>
        </w:rPr>
        <w:t>　　　　　　　　　　　　　　　　　　　　　　　　　　　　　　　　　</w:t>
      </w:r>
      <w:r>
        <w:rPr>
          <w:rFonts w:hint="eastAsia" w:ascii="ＭＳ ゴシック" w:hAnsi="ＭＳ ゴシック" w:eastAsia="ＭＳ ゴシック"/>
          <w:u w:val="dotted" w:color="auto"/>
        </w:rPr>
        <w:t xml:space="preserve">                    </w:t>
      </w:r>
      <w:r>
        <w:rPr>
          <w:rFonts w:hint="eastAsia" w:ascii="ＭＳ ゴシック" w:hAnsi="ＭＳ ゴシック" w:eastAsia="ＭＳ ゴシック"/>
          <w:u w:val="dotted" w:color="auto"/>
        </w:rPr>
        <w:t>　</w:t>
      </w:r>
      <w:r>
        <w:rPr>
          <w:rFonts w:hint="eastAsia" w:ascii="ＭＳ ゴシック" w:hAnsi="ＭＳ ゴシック" w:eastAsia="ＭＳ ゴシック"/>
          <w:u w:val="dotted" w:color="auto"/>
        </w:rPr>
        <w:t xml:space="preserve"> </w:t>
      </w:r>
      <w:r>
        <w:rPr>
          <w:rFonts w:hint="eastAsia" w:ascii="ＭＳ ゴシック" w:hAnsi="ＭＳ ゴシック" w:eastAsia="ＭＳ ゴシック"/>
          <w:u w:val="dotted" w:color="auto"/>
        </w:rPr>
        <w:t>　</w:t>
      </w:r>
      <w:r>
        <w:rPr>
          <w:rFonts w:hint="eastAsia" w:ascii="ＭＳ ゴシック" w:hAnsi="ＭＳ ゴシック" w:eastAsia="ＭＳ ゴシック"/>
          <w:u w:val="dotted" w:color="auto"/>
        </w:rPr>
        <w:t xml:space="preserve"> </w:t>
      </w:r>
    </w:p>
    <w:p>
      <w:pPr>
        <w:pStyle w:val="0"/>
        <w:wordWrap w:val="0"/>
        <w:ind w:right="306"/>
        <w:jc w:val="right"/>
        <w:rPr>
          <w:rFonts w:hint="eastAsia" w:ascii="ＭＳ ゴシック" w:hAnsi="ＭＳ ゴシック" w:eastAsia="ＭＳ ゴシック"/>
        </w:rPr>
      </w:pPr>
      <w:r>
        <w:rPr>
          <w:rFonts w:hint="eastAsia" w:ascii="ＭＳ ゴシック" w:hAnsi="ＭＳ ゴシック" w:eastAsia="ＭＳ ゴシック"/>
        </w:rPr>
        <w:t>青地商第　　　　　　号</w:t>
      </w:r>
    </w:p>
    <w:p>
      <w:pPr>
        <w:pStyle w:val="0"/>
        <w:ind w:right="306"/>
        <w:jc w:val="right"/>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right="306"/>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80" w:lineRule="exact"/>
        <w:ind w:right="23"/>
        <w:rPr>
          <w:rFonts w:hint="eastAsia" w:ascii="ＭＳ ゴシック" w:hAnsi="ＭＳ ゴシック" w:eastAsia="ＭＳ ゴシック"/>
          <w:spacing w:val="12"/>
        </w:rPr>
      </w:pPr>
      <w:r>
        <w:rPr>
          <w:rFonts w:hint="eastAsia" w:ascii="ＭＳ ゴシック" w:hAnsi="ＭＳ ゴシック" w:eastAsia="ＭＳ ゴシック"/>
          <w:spacing w:val="0"/>
        </w:rPr>
        <w:t>（注）本認定書の有効期間：令和　　年　　月　　日から令和　　年　　月　　日まで</w:t>
      </w:r>
    </w:p>
    <w:p>
      <w:pPr>
        <w:pStyle w:val="0"/>
        <w:ind w:left="420" w:hanging="420" w:hangingChars="200"/>
        <w:rPr>
          <w:rFonts w:hint="eastAsia"/>
        </w:rPr>
      </w:pPr>
      <w:r>
        <w:rPr>
          <w:rFonts w:hint="eastAsia" w:ascii="ＭＳ ゴシック" w:hAnsi="ＭＳ ゴシック" w:eastAsia="ＭＳ ゴシック"/>
        </w:rPr>
        <w:t>　　　　　　　　　　　　　　　　　　　　　　　　　　　　　　　青梅市長　大勢待　利　明</w:t>
      </w:r>
    </w:p>
    <w:sectPr>
      <w:pgSz w:w="11906" w:h="16838"/>
      <w:pgMar w:top="567" w:right="1134" w:bottom="56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1</Pages>
  <Words>3</Words>
  <Characters>951</Characters>
  <Application>JUST Note</Application>
  <Lines>66</Lines>
  <Paragraphs>41</Paragraphs>
  <Company>青梅市</Company>
  <CharactersWithSpaces>1649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太田　南</dc:creator>
  <cp:lastModifiedBy>藤井　将一</cp:lastModifiedBy>
  <cp:lastPrinted>2023-12-01T07:25:38Z</cp:lastPrinted>
  <dcterms:created xsi:type="dcterms:W3CDTF">2023-11-22T04:17:00Z</dcterms:created>
  <dcterms:modified xsi:type="dcterms:W3CDTF">2023-11-30T05:09:47Z</dcterms:modified>
  <cp:revision>0</cp:revision>
</cp:coreProperties>
</file>