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0" w:rightFromText="0" w:topFromText="0" w:bottomFromText="0" w:vertAnchor="text" w:horzAnchor="margin" w:tblpXSpec="left" w:tblpY="-306"/>
        <w:tblOverlap w:val="never"/>
        <w:tblW w:w="96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30"/>
        <w:gridCol w:w="3224"/>
        <w:gridCol w:w="3106"/>
      </w:tblGrid>
      <w:tr>
        <w:trPr>
          <w:trHeight w:val="398" w:hRule="atLeast"/>
        </w:trPr>
        <w:tc>
          <w:tcPr>
            <w:tcW w:w="9660" w:type="dxa"/>
            <w:gridSpan w:val="3"/>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rPr>
            </w:pPr>
            <w:r>
              <w:rPr>
                <w:rFonts w:hint="eastAsia" w:ascii="ＭＳ ゴシック" w:hAnsi="ＭＳ ゴシック" w:eastAsia="ＭＳ ゴシック"/>
              </w:rPr>
              <w:t>認定権者記載欄</w:t>
            </w:r>
          </w:p>
        </w:tc>
      </w:tr>
      <w:tr>
        <w:trPr>
          <w:trHeight w:val="53" w:hRule="atLeast"/>
        </w:trPr>
        <w:tc>
          <w:tcPr>
            <w:tcW w:w="3330"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224"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106"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r>
        <w:trPr>
          <w:trHeight w:val="206" w:hRule="atLeast"/>
        </w:trPr>
        <w:tc>
          <w:tcPr>
            <w:tcW w:w="3330"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224"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106"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様式第５－（ロ）－③</w:t>
      </w:r>
    </w:p>
    <w:tbl>
      <w:tblPr>
        <w:tblStyle w:val="11"/>
        <w:tblW w:w="96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60"/>
      </w:tblGrid>
      <w:tr>
        <w:trPr/>
        <w:tc>
          <w:tcPr>
            <w:tcW w:w="9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bookmarkStart w:id="0" w:name="_GoBack"/>
            <w:bookmarkEnd w:id="0"/>
            <w:r>
              <w:rPr>
                <w:rFonts w:hint="eastAsia" w:ascii="ＭＳ ゴシック" w:hAnsi="ＭＳ ゴシック" w:eastAsia="ＭＳ ゴシック"/>
                <w:color w:val="000000"/>
                <w:kern w:val="0"/>
              </w:rPr>
              <w:t>中小企業信用保険法第２条第５項第５号の規定による認定申請書（ロ－③）</w:t>
            </w:r>
          </w:p>
          <w:p>
            <w:pPr>
              <w:pStyle w:val="0"/>
              <w:suppressAutoHyphens w:val="1"/>
              <w:kinsoku w:val="0"/>
              <w:wordWrap w:val="0"/>
              <w:overflowPunct w:val="0"/>
              <w:autoSpaceDE w:val="0"/>
              <w:autoSpaceDN w:val="0"/>
              <w:adjustRightInd w:val="0"/>
              <w:spacing w:line="240" w:lineRule="exact"/>
              <w:ind w:rightChars="0"/>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rPr>
              <w:t>青梅市長　大勢待　利　明</w:t>
            </w:r>
            <w:r>
              <w:rPr>
                <w:rFonts w:hint="eastAsia" w:ascii="ＭＳ ゴシック" w:hAnsi="ＭＳ ゴシック" w:eastAsia="ＭＳ ゴシック"/>
                <w:color w:val="000000"/>
                <w:kern w:val="0"/>
              </w:rPr>
              <w:t>　殿</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5040" w:firstLineChars="2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rightChars="0"/>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non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none" w:color="000000"/>
              </w:rPr>
              <w:t>　　</w:t>
            </w:r>
          </w:p>
          <w:p>
            <w:pPr>
              <w:pStyle w:val="17"/>
              <w:spacing w:before="0" w:beforeLines="0" w:beforeAutospacing="0" w:after="0" w:afterLines="0" w:afterAutospacing="0" w:line="10" w:lineRule="atLeast"/>
              <w:jc w:val="left"/>
              <w:rPr>
                <w:rFonts w:hint="default"/>
                <w:sz w:val="21"/>
              </w:rPr>
            </w:pPr>
            <w:r>
              <w:rPr>
                <w:rFonts w:hint="eastAsia"/>
              </w:rPr>
              <w:t>　</w:t>
            </w:r>
            <w:r>
              <w:rPr>
                <w:rFonts w:hint="eastAsia"/>
                <w:sz w:val="21"/>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　（表</w:t>
            </w:r>
            <w:r>
              <w:rPr>
                <w:rFonts w:hint="eastAsia"/>
                <w:sz w:val="21"/>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7"/>
              <w:gridCol w:w="3168"/>
              <w:gridCol w:w="3168"/>
            </w:tblGrid>
            <w:tr>
              <w:trPr>
                <w:trHeight w:val="327" w:hRule="atLeast"/>
              </w:trPr>
              <w:tc>
                <w:tcPr>
                  <w:tcW w:w="316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8"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41" w:hRule="atLeast"/>
              </w:trPr>
              <w:tc>
                <w:tcPr>
                  <w:tcW w:w="3167"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8"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8"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※表には、指定業種であって、原油等の価格の上昇を製品等の価格に転嫁できていない事業が属する業種</w:t>
            </w:r>
            <w:r>
              <w:rPr>
                <w:rFonts w:hint="eastAsia" w:ascii="ＭＳ ゴシック" w:hAnsi="ＭＳ ゴシック" w:eastAsia="ＭＳ ゴシック"/>
                <w:color w:val="000000"/>
                <w:spacing w:val="16"/>
                <w:kern w:val="0"/>
              </w:rPr>
              <w:t>(</w:t>
            </w:r>
            <w:r>
              <w:rPr>
                <w:rFonts w:hint="eastAsia" w:ascii="ＭＳ ゴシック" w:hAnsi="ＭＳ ゴシック" w:eastAsia="ＭＳ ゴシック"/>
                <w:color w:val="000000"/>
                <w:spacing w:val="16"/>
                <w:kern w:val="0"/>
              </w:rPr>
              <w:t>日本標準産業分類の細分類番号と細分類業種名</w:t>
            </w:r>
            <w:r>
              <w:rPr>
                <w:rFonts w:hint="eastAsia" w:ascii="ＭＳ ゴシック" w:hAnsi="ＭＳ ゴシック" w:eastAsia="ＭＳ ゴシック"/>
                <w:color w:val="000000"/>
                <w:spacing w:val="16"/>
                <w:kern w:val="0"/>
              </w:rPr>
              <w:t>)</w:t>
            </w:r>
            <w:r>
              <w:rPr>
                <w:rFonts w:hint="eastAsia" w:ascii="ＭＳ ゴシック" w:hAnsi="ＭＳ ゴシック" w:eastAsia="ＭＳ ゴシック"/>
                <w:color w:val="000000"/>
                <w:spacing w:val="16"/>
                <w:kern w:val="0"/>
              </w:rPr>
              <w:t>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①上記の表に記載した指定業種（以下同じ。）に係る原油等の仕入単価の上昇</w:t>
            </w:r>
            <w:r>
              <w:rPr>
                <w:rFonts w:hint="eastAsia" w:ascii="ＭＳ ゴシック" w:hAnsi="ＭＳ ゴシック" w:eastAsia="ＭＳ ゴシック"/>
                <w:color w:val="000000"/>
                <w:kern w:val="0"/>
                <w:sz w:val="18"/>
              </w:rPr>
              <w:t>（注２）</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none" w:color="000000"/>
              </w:rPr>
              <w:t>Ｅ</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ｅ）×</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上昇率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Ｅ：指定業種に係る原油等の最近１か月間における平均仕入れ単価　　</w:t>
            </w:r>
            <w:r>
              <w:rPr>
                <w:rFonts w:hint="eastAsia" w:ascii="ＭＳ ゴシック" w:hAnsi="ＭＳ ゴシック" w:eastAsia="ＭＳ ゴシック"/>
                <w:color w:val="000000"/>
                <w:kern w:val="0"/>
                <w:u w:val="none" w:color="00000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ｅ：指定業種に係るＥの期間に対応する前年１か月間の平均仕入れ単価</w:t>
            </w:r>
            <w:r>
              <w:rPr>
                <w:rFonts w:hint="eastAsia" w:ascii="ＭＳ ゴシック" w:hAnsi="ＭＳ ゴシック" w:eastAsia="ＭＳ ゴシック"/>
                <w:color w:val="000000"/>
                <w:spacing w:val="16"/>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②全体の売上原価のうち指定業種に係る原油等の仕入価格が占める割合</w:t>
            </w:r>
            <w:r>
              <w:rPr>
                <w:rFonts w:hint="eastAsia" w:ascii="ＭＳ ゴシック" w:hAnsi="ＭＳ ゴシック" w:eastAsia="ＭＳ ゴシック"/>
                <w:color w:val="000000"/>
                <w:kern w:val="0"/>
                <w:sz w:val="18"/>
              </w:rPr>
              <w:t>（注２）</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u w:val="none" w:color="000000"/>
              </w:rPr>
              <w:t>Ｓ</w:t>
            </w:r>
            <w:r>
              <w:rPr>
                <w:rFonts w:hint="eastAsia" w:ascii="ＭＳ ゴシック" w:hAnsi="ＭＳ ゴシック" w:eastAsia="ＭＳ ゴシック"/>
                <w:color w:val="000000"/>
                <w:kern w:val="0"/>
                <w:u w:val="none" w:color="000000"/>
              </w:rPr>
              <w:t>/</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依存率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Ｃ：申込時点における最新の全体の売上原価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Ｓ：Ｃの売上原価に対応する指定業種に係る原油等の仕入価格</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③－１　指定業種に係る製品等価格への転嫁の状況</w:t>
            </w:r>
            <w:r>
              <w:rPr>
                <w:rFonts w:hint="eastAsia" w:ascii="ＭＳ ゴシック" w:hAnsi="ＭＳ ゴシック" w:eastAsia="ＭＳ ゴシック"/>
                <w:color w:val="000000"/>
                <w:kern w:val="0"/>
                <w:sz w:val="18"/>
              </w:rPr>
              <w:t>（注３）</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u w:val="none" w:color="000000"/>
              </w:rPr>
              <w:t>Ａ１</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Ｂ１）―（</w:t>
            </w:r>
            <w:r>
              <w:rPr>
                <w:rFonts w:hint="eastAsia" w:ascii="ＭＳ ゴシック" w:hAnsi="ＭＳ ゴシック" w:eastAsia="ＭＳ ゴシック"/>
                <w:color w:val="000000"/>
                <w:kern w:val="0"/>
                <w:u w:val="none" w:color="000000"/>
              </w:rPr>
              <w:t>ａ１</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ｂ１）</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＝Ｐ１</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Ｐ１＝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Ａ１：申込時点における最近３か月間の指定業種に係る原油等の仕入価格</w:t>
            </w:r>
            <w:r>
              <w:rPr>
                <w:rFonts w:hint="eastAsia" w:ascii="ＭＳ ゴシック" w:hAnsi="ＭＳ ゴシック" w:eastAsia="ＭＳ ゴシック"/>
                <w:color w:val="000000"/>
                <w:kern w:val="0"/>
                <w:u w:val="none" w:color="000000"/>
              </w:rPr>
              <w:t xml:space="preserve">  </w:t>
            </w:r>
            <w:r>
              <w:rPr>
                <w:rFonts w:hint="eastAsia" w:ascii="ＭＳ ゴシック" w:hAnsi="ＭＳ ゴシック" w:eastAsia="ＭＳ ゴシック"/>
                <w:color w:val="000000"/>
                <w:kern w:val="0"/>
                <w:u w:val="none" w:color="000000"/>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ａ１：Ａ１の期間に対応する前年３か月間の指定業種に係る原油等の仕入価格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Ｂ１：申込時点における最近３か月間の指定業種に係る売上高</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ｂ１：Ｂ１の期間に対応する前年３か月間の指定業種に係る売上高</w:t>
            </w:r>
            <w:r>
              <w:rPr>
                <w:rFonts w:hint="eastAsia" w:ascii="ＭＳ ゴシック" w:hAnsi="ＭＳ ゴシック" w:eastAsia="ＭＳ ゴシック"/>
                <w:color w:val="000000"/>
                <w:spacing w:val="16"/>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③－２　全体に係る製品等価格への転嫁の状況</w:t>
            </w:r>
            <w:r>
              <w:rPr>
                <w:rFonts w:hint="eastAsia" w:ascii="ＭＳ ゴシック" w:hAnsi="ＭＳ ゴシック" w:eastAsia="ＭＳ ゴシック"/>
                <w:color w:val="000000"/>
                <w:kern w:val="0"/>
                <w:sz w:val="18"/>
              </w:rPr>
              <w:t>（注３）</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u w:val="none" w:color="000000"/>
              </w:rPr>
              <w:t>Ａ１</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Ｂ２）―（</w:t>
            </w:r>
            <w:r>
              <w:rPr>
                <w:rFonts w:hint="eastAsia" w:ascii="ＭＳ ゴシック" w:hAnsi="ＭＳ ゴシック" w:eastAsia="ＭＳ ゴシック"/>
                <w:color w:val="000000"/>
                <w:kern w:val="0"/>
                <w:u w:val="none" w:color="000000"/>
              </w:rPr>
              <w:t>ａ１</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ｂ２）</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＝Ｐ２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Ｐ２＝</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Ａ１：申込時点における最近３か月間の指定業種に係る原油等の仕入価格</w:t>
            </w:r>
            <w:r>
              <w:rPr>
                <w:rFonts w:hint="eastAsia" w:ascii="ＭＳ ゴシック" w:hAnsi="ＭＳ ゴシック" w:eastAsia="ＭＳ ゴシック"/>
                <w:color w:val="000000"/>
                <w:kern w:val="0"/>
                <w:u w:val="none" w:color="000000"/>
              </w:rPr>
              <w:t>　</w:t>
            </w:r>
            <w:r>
              <w:rPr>
                <w:rFonts w:hint="eastAsia" w:ascii="ＭＳ ゴシック" w:hAnsi="ＭＳ ゴシック" w:eastAsia="ＭＳ ゴシック"/>
                <w:color w:val="000000"/>
                <w:kern w:val="0"/>
                <w:u w:val="none" w:color="00000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ａ１：Ａ１の期間に対応する前年３か月間の指定業種に係る原油等の仕入価格</w:t>
            </w:r>
            <w:r>
              <w:rPr>
                <w:rFonts w:hint="eastAsia" w:ascii="ＭＳ ゴシック" w:hAnsi="ＭＳ ゴシック" w:eastAsia="ＭＳ ゴシック"/>
                <w:color w:val="000000"/>
                <w:kern w:val="0"/>
                <w:u w:val="non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Ｂ２：申込時点における最近３か月間の全体の売上高</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ｂ２：Ｂ２の期間に対応する前年３か月間の全体の売上高</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bl>
    <w:p>
      <w:pPr>
        <w:pStyle w:val="0"/>
        <w:suppressAutoHyphens w:val="1"/>
        <w:spacing w:line="280" w:lineRule="exact"/>
        <w:ind w:leftChars="0" w:hanging="840" w:hangingChars="400"/>
        <w:jc w:val="both"/>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（注１）本様式は、指定業種に係る原油等の仕入価格の上昇等を指定業種及び企業全体の製品等の価　　　　　　　　　　　　　　　　　　　格に転嫁できていないことによって認定基準を満たす場合に使用する。</w:t>
      </w: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（注２）上昇率及び依存率が２０％以上となっていること。</w:t>
      </w: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（注３）Ｐ１＞０、かつ、Ｐ２＞０となっていること。</w:t>
      </w:r>
    </w:p>
    <w:p>
      <w:pPr>
        <w:pStyle w:val="0"/>
        <w:suppressAutoHyphens w:val="1"/>
        <w:spacing w:line="28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8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①本認定とは別に、金融機関及び信用保証協会による金融上の審査があります。</w:t>
      </w:r>
    </w:p>
    <w:p>
      <w:pPr>
        <w:pStyle w:val="0"/>
        <w:suppressAutoHyphens w:val="1"/>
        <w:spacing w:line="280" w:lineRule="exact"/>
        <w:ind w:left="420" w:leftChars="0" w:hanging="420" w:firstLineChars="0"/>
        <w:jc w:val="left"/>
        <w:textAlignment w:val="baseline"/>
        <w:rPr>
          <w:rFonts w:hint="eastAsia"/>
        </w:rPr>
      </w:pPr>
      <w:r>
        <w:rPr>
          <w:rFonts w:hint="eastAsia" w:ascii="ＭＳ ゴシック" w:hAnsi="ＭＳ ゴシック" w:eastAsia="ＭＳ ゴシック"/>
          <w:color w:val="000000"/>
          <w:kern w:val="0"/>
        </w:rPr>
        <w:t>　②市町村長又は特別区長から認定を受けた後、本認定の有効期間内に金融機関又は信用保証協に対して、経営安定関連保証の申込みを行うことが必要です。</w:t>
      </w:r>
    </w:p>
    <w:p>
      <w:pPr>
        <w:pStyle w:val="0"/>
        <w:suppressAutoHyphens w:val="1"/>
        <w:wordWrap w:val="0"/>
        <w:spacing w:line="240" w:lineRule="exact"/>
        <w:ind w:left="862" w:leftChars="0" w:right="-231" w:rightChars="-110" w:hanging="862" w:firstLineChars="0"/>
        <w:jc w:val="left"/>
        <w:textAlignment w:val="baseline"/>
        <w:rPr>
          <w:rFonts w:hint="eastAsia" w:ascii="ＭＳ ゴシック" w:hAnsi="ＭＳ ゴシック" w:eastAsia="ＭＳ ゴシック"/>
          <w:u w:val="dotted" w:color="auto"/>
        </w:rPr>
      </w:pPr>
      <w:r>
        <w:rPr>
          <w:rFonts w:hint="eastAsia" w:ascii="ＭＳ ゴシック" w:hAnsi="ＭＳ ゴシック" w:eastAsia="ＭＳ ゴシック"/>
          <w:u w:val="dotted" w:color="auto"/>
        </w:rPr>
        <w:t>　　　　　　　　　　　　　　　　　　　　　　　　　　　　　　　　　</w:t>
      </w:r>
      <w:r>
        <w:rPr>
          <w:rFonts w:hint="eastAsia" w:ascii="ＭＳ ゴシック" w:hAnsi="ＭＳ ゴシック" w:eastAsia="ＭＳ ゴシック"/>
          <w:u w:val="dotted" w:color="auto"/>
        </w:rPr>
        <w:t xml:space="preserve">                    </w:t>
      </w:r>
      <w:r>
        <w:rPr>
          <w:rFonts w:hint="eastAsia" w:ascii="ＭＳ ゴシック" w:hAnsi="ＭＳ ゴシック" w:eastAsia="ＭＳ ゴシック"/>
          <w:u w:val="dotted" w:color="auto"/>
        </w:rPr>
        <w:t>　　</w:t>
      </w:r>
      <w:r>
        <w:rPr>
          <w:rFonts w:hint="eastAsia" w:ascii="ＭＳ ゴシック" w:hAnsi="ＭＳ ゴシック" w:eastAsia="ＭＳ ゴシック"/>
          <w:u w:val="dotted" w:color="auto"/>
        </w:rPr>
        <w:t xml:space="preserve">   </w:t>
      </w:r>
    </w:p>
    <w:p>
      <w:pPr>
        <w:pStyle w:val="0"/>
        <w:wordWrap w:val="0"/>
        <w:ind w:rightChars="0"/>
        <w:jc w:val="center"/>
        <w:rPr>
          <w:rFonts w:hint="eastAsia" w:ascii="ＭＳ ゴシック" w:hAnsi="ＭＳ ゴシック" w:eastAsia="ＭＳ ゴシック"/>
        </w:rPr>
      </w:pPr>
      <w:r>
        <w:rPr>
          <w:rFonts w:hint="eastAsia" w:ascii="ＭＳ ゴシック" w:hAnsi="ＭＳ ゴシック" w:eastAsia="ＭＳ ゴシック"/>
        </w:rPr>
        <w:t>　　　　　　　　　　　　　　　　　　　　　　　　　　　　　　　　青地商第　　　　　　号</w:t>
      </w:r>
    </w:p>
    <w:p>
      <w:pPr>
        <w:pStyle w:val="0"/>
        <w:ind w:rightChars="0"/>
        <w:jc w:val="center"/>
        <w:rPr>
          <w:rFonts w:hint="eastAsia" w:ascii="ＭＳ ゴシック" w:hAnsi="ＭＳ ゴシック" w:eastAsia="ＭＳ ゴシック"/>
        </w:rPr>
      </w:pPr>
      <w:r>
        <w:rPr>
          <w:rFonts w:hint="eastAsia" w:ascii="ＭＳ ゴシック" w:hAnsi="ＭＳ ゴシック" w:eastAsia="ＭＳ ゴシック"/>
        </w:rPr>
        <w:t>　　　　　　　　　　　　　　　　　　　　　　　　　　　　　　　　令和　　年　　月　　日</w:t>
      </w:r>
    </w:p>
    <w:p>
      <w:pPr>
        <w:pStyle w:val="0"/>
        <w:ind w:right="306"/>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80" w:lineRule="exact"/>
        <w:ind w:right="23"/>
        <w:rPr>
          <w:rFonts w:hint="eastAsia" w:ascii="ＭＳ ゴシック" w:hAnsi="ＭＳ ゴシック" w:eastAsia="ＭＳ ゴシック"/>
          <w:spacing w:val="12"/>
        </w:rPr>
      </w:pPr>
      <w:r>
        <w:rPr>
          <w:rFonts w:hint="eastAsia" w:ascii="ＭＳ ゴシック" w:hAnsi="ＭＳ ゴシック" w:eastAsia="ＭＳ ゴシック"/>
          <w:spacing w:val="0"/>
        </w:rPr>
        <w:t>（注）本認定書の有効期間：令和　　年　　月　　日から令和　　年　　月　　日まで</w:t>
      </w:r>
    </w:p>
    <w:p>
      <w:pPr>
        <w:pStyle w:val="0"/>
        <w:ind w:left="420" w:hanging="420" w:hangingChars="200"/>
        <w:rPr>
          <w:rFonts w:hint="eastAsia"/>
        </w:rPr>
      </w:pPr>
      <w:r>
        <w:rPr>
          <w:rFonts w:hint="eastAsia" w:ascii="ＭＳ ゴシック" w:hAnsi="ＭＳ ゴシック" w:eastAsia="ＭＳ ゴシック"/>
        </w:rPr>
        <w:t>　　　　　　　　　　　　　　　　　　　　　　　　　　　　　　　青梅市長　大勢待　利　明</w:t>
      </w:r>
    </w:p>
    <w:sectPr>
      <w:pgSz w:w="11906" w:h="16838"/>
      <w:pgMar w:top="567" w:right="1134" w:bottom="567"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Closing"/>
    <w:basedOn w:val="0"/>
    <w:next w:val="17"/>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8" w:customStyle="1">
    <w:name w:val="結語 (文字)"/>
    <w:basedOn w:val="10"/>
    <w:next w:val="18"/>
    <w:link w:val="17"/>
    <w:uiPriority w:val="0"/>
    <w:rPr>
      <w:rFonts w:ascii="ＭＳ ゴシック" w:hAnsi="ＭＳ ゴシック" w:eastAsia="ＭＳ ゴシック"/>
      <w:color w:val="000000"/>
      <w:kern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1</Pages>
  <Words>3</Words>
  <Characters>1229</Characters>
  <Application>JUST Note</Application>
  <Lines>64</Lines>
  <Paragraphs>43</Paragraphs>
  <Company>青梅市</Company>
  <CharactersWithSpaces>1997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太田　南</dc:creator>
  <cp:lastModifiedBy>藤井　将一</cp:lastModifiedBy>
  <cp:lastPrinted>2023-12-01T07:19:32Z</cp:lastPrinted>
  <dcterms:created xsi:type="dcterms:W3CDTF">2023-11-29T00:11:00Z</dcterms:created>
  <dcterms:modified xsi:type="dcterms:W3CDTF">2023-12-01T01:48:56Z</dcterms:modified>
  <cp:revision>2</cp:revision>
</cp:coreProperties>
</file>